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5071A2" w:rsidRPr="005071A2" w:rsidRDefault="00F97877" w:rsidP="005071A2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proofErr w:type="spellStart"/>
      <w:r w:rsidR="005071A2" w:rsidRPr="005071A2">
        <w:rPr>
          <w:rFonts w:ascii="Arial" w:hAnsi="Arial" w:cs="Arial"/>
          <w:b/>
          <w:bCs/>
        </w:rPr>
        <w:t>Одржавање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сервисирање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еталонирање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/ </w:t>
      </w:r>
      <w:proofErr w:type="spellStart"/>
      <w:r w:rsidR="005071A2" w:rsidRPr="005071A2">
        <w:rPr>
          <w:rFonts w:ascii="Arial" w:hAnsi="Arial" w:cs="Arial"/>
          <w:b/>
          <w:bCs/>
        </w:rPr>
        <w:t>резервни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делови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- </w:t>
      </w:r>
      <w:proofErr w:type="spellStart"/>
      <w:r w:rsidR="005071A2" w:rsidRPr="005071A2">
        <w:rPr>
          <w:rFonts w:ascii="Arial" w:hAnsi="Arial" w:cs="Arial"/>
          <w:b/>
          <w:bCs/>
        </w:rPr>
        <w:t>медицинска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и </w:t>
      </w:r>
      <w:proofErr w:type="spellStart"/>
      <w:r w:rsidR="005071A2" w:rsidRPr="005071A2">
        <w:rPr>
          <w:rFonts w:ascii="Arial" w:hAnsi="Arial" w:cs="Arial"/>
          <w:b/>
          <w:bCs/>
        </w:rPr>
        <w:t>лабораторијска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5071A2" w:rsidRPr="005071A2">
        <w:rPr>
          <w:rFonts w:ascii="Arial" w:hAnsi="Arial" w:cs="Arial"/>
          <w:b/>
          <w:bCs/>
        </w:rPr>
        <w:t>опрема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 -</w:t>
      </w:r>
      <w:proofErr w:type="gram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еталонирање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калибрација</w:t>
      </w:r>
      <w:proofErr w:type="spellEnd"/>
      <w:r w:rsidR="005071A2" w:rsidRPr="005071A2">
        <w:rPr>
          <w:rFonts w:ascii="Arial" w:hAnsi="Arial" w:cs="Arial"/>
          <w:b/>
          <w:bCs/>
        </w:rPr>
        <w:t>/</w:t>
      </w:r>
      <w:proofErr w:type="spellStart"/>
      <w:r w:rsidR="005071A2" w:rsidRPr="005071A2">
        <w:rPr>
          <w:rFonts w:ascii="Arial" w:hAnsi="Arial" w:cs="Arial"/>
          <w:b/>
          <w:bCs/>
        </w:rPr>
        <w:t>верификација</w:t>
      </w:r>
      <w:proofErr w:type="spellEnd"/>
      <w:r w:rsidR="005071A2" w:rsidRPr="005071A2">
        <w:rPr>
          <w:rFonts w:ascii="Arial" w:hAnsi="Arial" w:cs="Arial"/>
          <w:b/>
          <w:bCs/>
        </w:rPr>
        <w:t xml:space="preserve"> </w:t>
      </w:r>
      <w:proofErr w:type="spellStart"/>
      <w:r w:rsidR="005071A2" w:rsidRPr="005071A2">
        <w:rPr>
          <w:rFonts w:ascii="Arial" w:hAnsi="Arial" w:cs="Arial"/>
          <w:b/>
          <w:bCs/>
        </w:rPr>
        <w:t>опреме</w:t>
      </w:r>
      <w:proofErr w:type="spellEnd"/>
      <w:r w:rsidR="005071A2" w:rsidRPr="005071A2">
        <w:rPr>
          <w:rFonts w:ascii="Arial" w:hAnsi="Arial" w:cs="Arial"/>
          <w:b/>
          <w:bCs/>
          <w:lang w:val="sr-Cyrl-RS"/>
        </w:rPr>
        <w:t xml:space="preserve">, </w:t>
      </w:r>
      <w:r w:rsidR="005071A2" w:rsidRPr="005071A2">
        <w:rPr>
          <w:rFonts w:ascii="Arial" w:hAnsi="Arial" w:cs="Arial"/>
          <w:b/>
          <w:bCs/>
        </w:rPr>
        <w:t>ЈН БР. ВНР 30-II-27/15</w:t>
      </w:r>
    </w:p>
    <w:p w:rsidR="00D14DD5" w:rsidRDefault="00D14DD5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753EFA" w:rsidRDefault="005071A2" w:rsidP="00B52AE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</w:t>
      </w:r>
      <w:r w:rsidR="00F97877" w:rsidRPr="00F97877">
        <w:rPr>
          <w:rFonts w:ascii="Arial" w:hAnsi="Arial" w:cs="Arial"/>
          <w:lang w:val="sr-Cyrl-CS"/>
        </w:rPr>
        <w:t xml:space="preserve"> У Конкурсној документацији за јавну набавку број </w:t>
      </w:r>
      <w:r w:rsidR="00D4593D">
        <w:rPr>
          <w:rFonts w:ascii="Arial" w:hAnsi="Arial" w:cs="Arial"/>
          <w:b/>
          <w:bCs/>
        </w:rPr>
        <w:t>ВНР 30-II-27/</w:t>
      </w:r>
      <w:r w:rsidR="00D42A25" w:rsidRPr="00D42A25">
        <w:rPr>
          <w:rFonts w:ascii="Arial" w:hAnsi="Arial" w:cs="Arial"/>
          <w:b/>
          <w:bCs/>
        </w:rPr>
        <w:t>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следећ</w:t>
      </w:r>
      <w:r w:rsidR="00D42A25">
        <w:rPr>
          <w:rFonts w:ascii="Arial" w:hAnsi="Arial" w:cs="Arial"/>
          <w:lang w:val="sr-Latn-RS"/>
        </w:rPr>
        <w:t>a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B52AED">
        <w:rPr>
          <w:rFonts w:ascii="Arial" w:hAnsi="Arial" w:cs="Arial"/>
          <w:lang w:val="sr-Cyrl-RS"/>
        </w:rPr>
        <w:t>:</w:t>
      </w:r>
    </w:p>
    <w:p w:rsidR="00B52AED" w:rsidRDefault="00B52AE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D42A25" w:rsidRPr="00D4593D" w:rsidRDefault="005071A2" w:rsidP="005071A2">
      <w:pPr>
        <w:tabs>
          <w:tab w:val="left" w:pos="567"/>
        </w:tabs>
        <w:suppressAutoHyphens/>
        <w:spacing w:line="100" w:lineRule="atLeast"/>
        <w:ind w:hanging="142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       </w:t>
      </w:r>
      <w:r w:rsidRPr="005071A2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У одељку 4.2.</w:t>
      </w:r>
      <w:r w:rsidRPr="005071A2"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 -</w:t>
      </w:r>
      <w:r w:rsidRPr="005071A2">
        <w:t xml:space="preserve"> </w:t>
      </w:r>
      <w:r w:rsidRPr="005071A2">
        <w:rPr>
          <w:rFonts w:ascii="Arial" w:eastAsia="Arial Unicode MS" w:hAnsi="Arial" w:cs="Arial"/>
          <w:color w:val="000000"/>
          <w:kern w:val="1"/>
          <w:lang w:val="sr-Cyrl-RS" w:eastAsia="ar-SA"/>
        </w:rPr>
        <w:t>ДОДАТНИ УСЛОВИ ЗА УЧЕШЋЕ У ПОСТУПКУ ЈАВНЕ НАБАВКЕ ИЗ ЧЛАНА 76. И УПУТСТВО КАКО СЕ ДОКАЗУЈЕ ИСПУЊЕНОСТ УСЛОВА</w:t>
      </w:r>
      <w:r w:rsidRPr="005071A2"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, ставка 7, а која се односи на додатне услове предвиђене </w:t>
      </w:r>
      <w:r w:rsidRPr="005071A2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за партију 7</w:t>
      </w:r>
      <w:r w:rsidRPr="005071A2"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 - </w:t>
      </w:r>
      <w:r w:rsidRPr="00D4593D">
        <w:rPr>
          <w:rFonts w:ascii="Arial" w:eastAsia="Arial Unicode MS" w:hAnsi="Arial" w:cs="Arial"/>
          <w:color w:val="000000"/>
          <w:kern w:val="1"/>
          <w:lang w:val="sr-Cyrl-CS" w:eastAsia="ar-SA"/>
        </w:rPr>
        <w:t>Одржавање, сервисирање, набавка и замена резервних делова/потрошног материјала и верификација рада и еталонирање опремТхермо Сциентифице за контролу квалитета амбијенталног ваздуха произвођача</w:t>
      </w:r>
      <w:r w:rsidRPr="00D4593D">
        <w:rPr>
          <w:rFonts w:ascii="Arial" w:eastAsia="Arial Unicode MS" w:hAnsi="Arial" w:cs="Arial"/>
          <w:color w:val="000000"/>
          <w:kern w:val="1"/>
          <w:lang w:val="sr-Latn-CS" w:eastAsia="ar-SA"/>
        </w:rPr>
        <w:t xml:space="preserve"> </w:t>
      </w:r>
      <w:r w:rsidRPr="00D4593D">
        <w:rPr>
          <w:rFonts w:ascii="Arial" w:eastAsia="Arial Unicode MS" w:hAnsi="Arial" w:cs="Arial"/>
          <w:bCs/>
          <w:color w:val="000000"/>
          <w:kern w:val="1"/>
          <w:lang w:val="sr-Latn-CS" w:eastAsia="ar-SA"/>
        </w:rPr>
        <w:t>Horiba, Leckel, Almemo, Chromatotech, Thermo Scientific, EAS Envimet analytical systems GMBH</w:t>
      </w:r>
      <w:r w:rsidR="00D4593D"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  <w:t>, и то тако што се додаје још један услов, односно ставка се мења и гласи: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4641"/>
        <w:gridCol w:w="3833"/>
      </w:tblGrid>
      <w:tr w:rsidR="00D4593D" w:rsidRPr="00D4593D" w:rsidTr="0027405A">
        <w:tc>
          <w:tcPr>
            <w:tcW w:w="1146" w:type="dxa"/>
          </w:tcPr>
          <w:p w:rsidR="00D4593D" w:rsidRPr="00D4593D" w:rsidRDefault="00D4593D" w:rsidP="00D4593D">
            <w:pPr>
              <w:suppressAutoHyphens/>
              <w:spacing w:after="0" w:line="100" w:lineRule="atLeast"/>
              <w:ind w:left="720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7.</w:t>
            </w:r>
          </w:p>
        </w:tc>
        <w:tc>
          <w:tcPr>
            <w:tcW w:w="4641" w:type="dxa"/>
          </w:tcPr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технички капацитет</w:t>
            </w: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, односно да има регистрован сервисни центар/ пословну јединицу регистровану за сервисирање  на територији Београда;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>кадровски капацитет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, односно да има у радном односу/радно ангажовано минимум 1 (једног) лица -  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t>сервисера сертификована за сервисирање предметне опреме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   услов који се односи на 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>пословни капацитет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, односно да је понуђач у периоду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који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није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дужи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>од пет година од дана објављивања позива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>за подношење понуда</w:t>
            </w:r>
            <w:r w:rsidRPr="00D4593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закључио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и у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свему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квалитетно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реализовао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најмање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два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 xml:space="preserve"> о </w:t>
            </w:r>
            <w:r w:rsidRPr="00D4593D">
              <w:rPr>
                <w:rFonts w:ascii="Arial" w:eastAsia="Arial Unicode MS" w:hAnsi="Arial" w:cs="Arial"/>
                <w:noProof/>
                <w:kern w:val="1"/>
                <w:sz w:val="20"/>
                <w:szCs w:val="20"/>
                <w:lang w:val="sr-Cyrl-CS" w:eastAsia="ar-SA"/>
              </w:rPr>
              <w:t xml:space="preserve">годишњем сервисирању за аутоматски мониторинг квалитета амбијенталног ваздуха који подразумева мрежу од минимум </w:t>
            </w:r>
            <w:r w:rsidRPr="00D4593D">
              <w:rPr>
                <w:rFonts w:ascii="Arial" w:eastAsia="Arial Unicode MS" w:hAnsi="Arial" w:cs="Arial"/>
                <w:noProof/>
                <w:kern w:val="1"/>
                <w:sz w:val="20"/>
                <w:szCs w:val="20"/>
                <w:lang w:val="sr-Cyrl-CS" w:eastAsia="ar-SA"/>
              </w:rPr>
              <w:lastRenderedPageBreak/>
              <w:t>четири аутоматске станице које прате све параметре предметне јавне набавке, метеоролошким сензорима (температура ваздуха, правац и брзина ветра) и софтверским пакетом за пренос и обраду података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услов који се односи на </w:t>
            </w: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пословни капацитет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>, односно да је понуђач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Latn-RS" w:eastAsia="ar-SA"/>
              </w:rPr>
              <w:t xml:space="preserve"> – 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сервисни партнер ауторизован за одржавање и сервисирање </w:t>
            </w:r>
            <w:r w:rsidRPr="00D4593D">
              <w:rPr>
                <w:rFonts w:ascii="Arial" w:eastAsia="Arial Unicode MS" w:hAnsi="Arial" w:cs="Arial"/>
                <w:i/>
                <w:color w:val="FF0000"/>
                <w:kern w:val="1"/>
                <w:sz w:val="20"/>
                <w:szCs w:val="20"/>
                <w:lang w:val="sr-Cyrl-RS" w:eastAsia="ar-SA"/>
              </w:rPr>
              <w:t>истог или сличног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 xml:space="preserve"> система аутоматског мониторинга квалитета ваздуха на територији Републике Србије</w:t>
            </w:r>
          </w:p>
        </w:tc>
        <w:tc>
          <w:tcPr>
            <w:tcW w:w="3833" w:type="dxa"/>
          </w:tcPr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lastRenderedPageBreak/>
              <w:t>извод из АПР са регистованом делтаношћу сервиса на територији Београда или пословном једницом регистованом за сервисирање на територији Београда</w:t>
            </w:r>
            <w:r w:rsidRPr="00D4593D">
              <w:rPr>
                <w:rFonts w:ascii="Arial" w:eastAsia="Arial Unicode MS" w:hAnsi="Arial" w:cs="Arial"/>
                <w:b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 или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копију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власничког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листа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о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купопродаји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или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уговора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о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закупу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пословног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простора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  <w:t>или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други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доказ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из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кога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се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несумњив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начин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може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утврдити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да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располаже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захтеваним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капацитетом</w:t>
            </w:r>
            <w:proofErr w:type="spellEnd"/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</w:rPr>
              <w:t>;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копија радне књижице</w:t>
            </w:r>
            <w:r w:rsidRPr="00D4593D">
              <w:rPr>
                <w:rFonts w:ascii="Arial" w:eastAsia="Arial Unicode MS" w:hAnsi="Arial" w:cs="Arial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/</w:t>
            </w: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уговора о радном ангажовању (уговор о </w:t>
            </w:r>
            <w:r w:rsidRPr="00D4593D">
              <w:rPr>
                <w:rFonts w:ascii="Arial" w:eastAsia="Arial Unicode MS" w:hAnsi="Arial" w:cs="Arial"/>
                <w:kern w:val="1"/>
                <w:sz w:val="20"/>
                <w:szCs w:val="20"/>
                <w:lang w:val="sr-Cyrl-CS" w:eastAsia="ar-SA"/>
              </w:rPr>
              <w:t xml:space="preserve">привременим/повременим пословима, уговор о делу и сл.) за сервисере и тражених важећих 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t xml:space="preserve">сертификата које се односе на сервисирање </w:t>
            </w:r>
            <w:r w:rsidRPr="00D4593D">
              <w:rPr>
                <w:rFonts w:ascii="Arial" w:eastAsia="Arial Unicode MS" w:hAnsi="Arial" w:cs="Arial"/>
                <w:bCs/>
                <w:noProof/>
                <w:kern w:val="1"/>
                <w:sz w:val="20"/>
                <w:szCs w:val="20"/>
                <w:lang w:val="sr-Cyrl-CS" w:eastAsia="ar-SA"/>
              </w:rPr>
              <w:lastRenderedPageBreak/>
              <w:t>предметне опреме а гласе на имена сервисера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списак корисника услуге и њихове потврде о реализованим уговорима</w:t>
            </w:r>
          </w:p>
          <w:p w:rsidR="00D4593D" w:rsidRPr="00D4593D" w:rsidRDefault="00D4593D" w:rsidP="00D4593D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eastAsia="Arial Unicode MS"/>
                <w:color w:val="000000"/>
                <w:kern w:val="1"/>
                <w:sz w:val="20"/>
                <w:szCs w:val="20"/>
                <w:lang w:eastAsia="ar-SA"/>
              </w:rPr>
            </w:pP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сертификат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који издаје произвођач опреме/представништво произвођача за територију Републике Србије </w:t>
            </w:r>
            <w:r w:rsidRPr="00D4593D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sr-Cyrl-CS" w:eastAsia="ar-SA"/>
              </w:rPr>
              <w:t>са</w:t>
            </w:r>
            <w:r w:rsidRPr="00D4593D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изјавом/потврдокм или др. документом произвођача опреме/представништва произвођача за територију Републике Србије којим се потврђује да је сертификат важећи.</w:t>
            </w:r>
          </w:p>
        </w:tc>
      </w:tr>
    </w:tbl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D4593D" w:rsidRPr="009B664B" w:rsidRDefault="00D4593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766B46" w:rsidRPr="00766B46">
        <w:rPr>
          <w:rFonts w:ascii="Arial" w:hAnsi="Arial" w:cs="Arial"/>
          <w:b/>
          <w:bCs/>
          <w:u w:val="single"/>
        </w:rPr>
        <w:t>ВНР 30-II-27/15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те су понуђачи у обавези да своје понуде припреме у складу са истом.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Pr="009B664B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766B46" w:rsidRPr="00766B46">
        <w:rPr>
          <w:rFonts w:ascii="Arial" w:hAnsi="Arial" w:cs="Arial"/>
          <w:b/>
          <w:bCs/>
        </w:rPr>
        <w:t>ВНР 30-II-27/15</w:t>
      </w:r>
      <w:bookmarkStart w:id="0" w:name="_GoBack"/>
      <w:bookmarkEnd w:id="0"/>
    </w:p>
    <w:sectPr w:rsidR="00B52AED" w:rsidRPr="009B664B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04" w:rsidRDefault="00301704">
      <w:r>
        <w:separator/>
      </w:r>
    </w:p>
  </w:endnote>
  <w:endnote w:type="continuationSeparator" w:id="0">
    <w:p w:rsidR="00301704" w:rsidRDefault="0030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B46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04" w:rsidRDefault="00301704">
      <w:r>
        <w:separator/>
      </w:r>
    </w:p>
  </w:footnote>
  <w:footnote w:type="continuationSeparator" w:id="0">
    <w:p w:rsidR="00301704" w:rsidRDefault="0030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45649"/>
    <w:multiLevelType w:val="hybridMultilevel"/>
    <w:tmpl w:val="FDB0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27"/>
  </w:num>
  <w:num w:numId="13">
    <w:abstractNumId w:val="20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4"/>
  </w:num>
  <w:num w:numId="22">
    <w:abstractNumId w:val="23"/>
  </w:num>
  <w:num w:numId="23">
    <w:abstractNumId w:val="6"/>
  </w:num>
  <w:num w:numId="24">
    <w:abstractNumId w:val="22"/>
  </w:num>
  <w:num w:numId="25">
    <w:abstractNumId w:val="24"/>
  </w:num>
  <w:num w:numId="26">
    <w:abstractNumId w:val="18"/>
  </w:num>
  <w:num w:numId="27">
    <w:abstractNumId w:val="11"/>
  </w:num>
  <w:num w:numId="28">
    <w:abstractNumId w:val="25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01704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071A2"/>
    <w:rsid w:val="00533064"/>
    <w:rsid w:val="005A40D8"/>
    <w:rsid w:val="005E0F9F"/>
    <w:rsid w:val="00621D4E"/>
    <w:rsid w:val="00652D5B"/>
    <w:rsid w:val="006C749A"/>
    <w:rsid w:val="006E6231"/>
    <w:rsid w:val="00753EFA"/>
    <w:rsid w:val="00766B46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E0D81"/>
    <w:rsid w:val="00D00B98"/>
    <w:rsid w:val="00D14DD5"/>
    <w:rsid w:val="00D42A25"/>
    <w:rsid w:val="00D4593D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2015-11-23T11:35:00Z</dcterms:created>
  <dcterms:modified xsi:type="dcterms:W3CDTF">2015-12-14T13:48:00Z</dcterms:modified>
</cp:coreProperties>
</file>